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8272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0BA58273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0BA58274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0BA58275" w14:textId="704866A4" w:rsidR="00104831" w:rsidRDefault="00104831" w:rsidP="00104831">
      <w:pPr>
        <w:tabs>
          <w:tab w:val="left" w:pos="2552"/>
        </w:tabs>
        <w:spacing w:after="480"/>
      </w:pPr>
      <w:r w:rsidRPr="00104831">
        <w:t>DIČ: CZ 709 94</w:t>
      </w:r>
      <w:r w:rsidR="00A34846">
        <w:t> </w:t>
      </w:r>
      <w:r w:rsidRPr="00104831">
        <w:t>234</w:t>
      </w:r>
    </w:p>
    <w:p w14:paraId="49BF136D" w14:textId="55A4AEC0" w:rsidR="00A34846" w:rsidRDefault="00A34846" w:rsidP="00104831">
      <w:pPr>
        <w:tabs>
          <w:tab w:val="left" w:pos="2552"/>
        </w:tabs>
        <w:spacing w:after="480"/>
      </w:pPr>
      <w:r>
        <w:t>Čj.:</w:t>
      </w:r>
    </w:p>
    <w:p w14:paraId="29D0CDCD" w14:textId="77777777" w:rsidR="00A34846" w:rsidRPr="00104831" w:rsidRDefault="00A34846" w:rsidP="00104831">
      <w:pPr>
        <w:tabs>
          <w:tab w:val="left" w:pos="2552"/>
        </w:tabs>
        <w:spacing w:after="480"/>
      </w:pPr>
    </w:p>
    <w:p w14:paraId="0BA58276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0BA58277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0BA58278" w14:textId="0268979E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</w:t>
      </w:r>
      <w:r w:rsidR="00F82661" w:rsidRPr="00C1160A">
        <w:t>„</w:t>
      </w:r>
      <w:r w:rsidR="00F82661">
        <w:t>Oprava trati v úseku Luka nad Jihlavou – Jihlava – II.</w:t>
      </w:r>
      <w:r w:rsidR="00C0029C">
        <w:t xml:space="preserve"> </w:t>
      </w:r>
      <w:r w:rsidR="00F82661">
        <w:t>etapa</w:t>
      </w:r>
      <w:r w:rsidR="00F82661" w:rsidRPr="00C1160A">
        <w:t xml:space="preserve">“ </w:t>
      </w:r>
    </w:p>
    <w:p w14:paraId="0BA58279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0BA5827A" w14:textId="77777777" w:rsidR="004462D3" w:rsidRPr="00C1160A" w:rsidRDefault="004462D3" w:rsidP="004462D3">
      <w:pPr>
        <w:jc w:val="center"/>
      </w:pPr>
    </w:p>
    <w:p w14:paraId="0BA5827B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0BA5827C" w14:textId="77777777" w:rsidR="002F3DC3" w:rsidRPr="00C1160A" w:rsidRDefault="002F3DC3" w:rsidP="002F3DC3">
      <w:pPr>
        <w:numPr>
          <w:ilvl w:val="0"/>
          <w:numId w:val="1"/>
        </w:num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14:paraId="0BA5827D" w14:textId="77777777" w:rsidR="002F3DC3" w:rsidRPr="00C1160A" w:rsidRDefault="002F3DC3" w:rsidP="002F3DC3">
      <w:r w:rsidRPr="00C1160A">
        <w:t xml:space="preserve">             </w:t>
      </w:r>
    </w:p>
    <w:p w14:paraId="0BA5827E" w14:textId="37010209" w:rsidR="00E95560" w:rsidRPr="00C859E9" w:rsidRDefault="002F3DC3" w:rsidP="00E95560">
      <w:pPr>
        <w:tabs>
          <w:tab w:val="left" w:pos="2552"/>
        </w:tabs>
        <w:ind w:left="3540" w:hanging="3540"/>
      </w:pPr>
      <w:r w:rsidRPr="00C1160A">
        <w:t>číslo projektu</w:t>
      </w:r>
      <w:r w:rsidR="00BA09DB">
        <w:t xml:space="preserve"> (SubISPROFOND)</w:t>
      </w:r>
      <w:r w:rsidR="00191A84">
        <w:t>:</w:t>
      </w:r>
      <w:r w:rsidR="00F82661">
        <w:t xml:space="preserve"> </w:t>
      </w:r>
      <w:r w:rsidR="00A87AE9">
        <w:t>500 311 0001</w:t>
      </w:r>
      <w:r w:rsidR="00191A84" w:rsidRPr="00F82661">
        <w:rPr>
          <w:color w:val="FF0000"/>
        </w:rPr>
        <w:tab/>
      </w:r>
    </w:p>
    <w:p w14:paraId="0BA5827F" w14:textId="492F91D0" w:rsidR="002F3DC3" w:rsidRPr="00C859E9" w:rsidRDefault="002F3DC3" w:rsidP="00E16E89">
      <w:pPr>
        <w:tabs>
          <w:tab w:val="left" w:pos="2552"/>
        </w:tabs>
        <w:ind w:left="3540" w:hanging="3540"/>
      </w:pPr>
    </w:p>
    <w:p w14:paraId="0BA58280" w14:textId="1C116786" w:rsidR="00E16E89" w:rsidRPr="00C859E9" w:rsidRDefault="00B35ACA" w:rsidP="00B35ACA">
      <w:pPr>
        <w:tabs>
          <w:tab w:val="left" w:pos="2552"/>
        </w:tabs>
      </w:pPr>
      <w:r w:rsidRPr="00C859E9">
        <w:t>název projektu:</w:t>
      </w:r>
      <w:r w:rsidR="00F82661">
        <w:t xml:space="preserve"> Oprava trati v úseku Luka nad Jihlavou – Jihlava – II. etapa</w:t>
      </w:r>
    </w:p>
    <w:p w14:paraId="2EBA8198" w14:textId="77777777" w:rsidR="00F82661" w:rsidRDefault="00E16E89" w:rsidP="0010777A">
      <w:pPr>
        <w:tabs>
          <w:tab w:val="left" w:pos="2552"/>
        </w:tabs>
        <w:rPr>
          <w:i/>
        </w:rPr>
      </w:pPr>
      <w:r w:rsidRPr="00C859E9">
        <w:t>číslo akce z plánu oprav a údržby:</w:t>
      </w:r>
      <w:r w:rsidR="00F82661" w:rsidRPr="00F82661">
        <w:rPr>
          <w:i/>
        </w:rPr>
        <w:t xml:space="preserve"> </w:t>
      </w:r>
      <w:r w:rsidR="00F82661" w:rsidRPr="00CF74A6">
        <w:rPr>
          <w:i/>
        </w:rPr>
        <w:t>639220012</w:t>
      </w:r>
    </w:p>
    <w:p w14:paraId="5F2A421A" w14:textId="6B8DDA42" w:rsidR="0010777A" w:rsidRDefault="00B35ACA" w:rsidP="0010777A">
      <w:pPr>
        <w:tabs>
          <w:tab w:val="left" w:pos="2552"/>
        </w:tabs>
      </w:pPr>
      <w:r w:rsidRPr="00C859E9">
        <w:t>místo realizace (kraj):</w:t>
      </w:r>
      <w:r w:rsidR="00F82661">
        <w:t xml:space="preserve"> Kraj Vysočina</w:t>
      </w:r>
    </w:p>
    <w:p w14:paraId="2B93A3AF" w14:textId="5CEA8278" w:rsidR="0010777A" w:rsidRPr="00FA0B17" w:rsidRDefault="0010777A" w:rsidP="0010777A">
      <w:pPr>
        <w:tabs>
          <w:tab w:val="left" w:pos="2552"/>
        </w:tabs>
        <w:spacing w:after="480"/>
      </w:pPr>
      <w:r>
        <w:t>zhotovitel PNP:</w:t>
      </w:r>
      <w:r>
        <w:tab/>
      </w:r>
      <w:r>
        <w:tab/>
      </w:r>
      <w:r>
        <w:tab/>
        <w:t>Správa železnic, státní organizace</w:t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5"/>
        <w:gridCol w:w="3013"/>
        <w:gridCol w:w="712"/>
        <w:gridCol w:w="2312"/>
      </w:tblGrid>
      <w:tr w:rsidR="00C859E9" w:rsidRPr="00C859E9" w14:paraId="0BA58285" w14:textId="77777777" w:rsidTr="0010777A">
        <w:trPr>
          <w:jc w:val="center"/>
        </w:trPr>
        <w:tc>
          <w:tcPr>
            <w:tcW w:w="6750" w:type="dxa"/>
            <w:gridSpan w:val="3"/>
          </w:tcPr>
          <w:p w14:paraId="0BA58283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12" w:type="dxa"/>
          </w:tcPr>
          <w:p w14:paraId="0BA58284" w14:textId="67D29350" w:rsidR="002F3DC3" w:rsidRPr="00591825" w:rsidRDefault="00F868C6" w:rsidP="00BF34CC">
            <w:r>
              <w:t>2022</w:t>
            </w:r>
          </w:p>
        </w:tc>
      </w:tr>
      <w:tr w:rsidR="002F3DC3" w:rsidRPr="00C1160A" w14:paraId="0BA58289" w14:textId="77777777" w:rsidTr="0010777A">
        <w:trPr>
          <w:jc w:val="center"/>
        </w:trPr>
        <w:tc>
          <w:tcPr>
            <w:tcW w:w="3025" w:type="dxa"/>
          </w:tcPr>
          <w:p w14:paraId="0BA58286" w14:textId="77777777" w:rsidR="002F3DC3" w:rsidRPr="00C1160A" w:rsidRDefault="002F3DC3" w:rsidP="007A3B1A">
            <w:r w:rsidRPr="00C1160A">
              <w:t>položka</w:t>
            </w:r>
          </w:p>
        </w:tc>
        <w:tc>
          <w:tcPr>
            <w:tcW w:w="3013" w:type="dxa"/>
          </w:tcPr>
          <w:p w14:paraId="0BA58287" w14:textId="77777777" w:rsidR="002F3DC3" w:rsidRPr="00C1160A" w:rsidRDefault="002F3DC3" w:rsidP="00193CBE">
            <w:pPr>
              <w:jc w:val="center"/>
            </w:pPr>
            <w:r w:rsidRPr="00C1160A">
              <w:t>tis. Kč (bez DPH)</w:t>
            </w:r>
          </w:p>
        </w:tc>
        <w:tc>
          <w:tcPr>
            <w:tcW w:w="3024" w:type="dxa"/>
            <w:gridSpan w:val="2"/>
          </w:tcPr>
          <w:p w14:paraId="0BA58288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F868C6" w:rsidRPr="00F868C6" w14:paraId="0BA5828D" w14:textId="77777777" w:rsidTr="0010777A">
        <w:trPr>
          <w:jc w:val="center"/>
        </w:trPr>
        <w:tc>
          <w:tcPr>
            <w:tcW w:w="3025" w:type="dxa"/>
          </w:tcPr>
          <w:p w14:paraId="0BA5828A" w14:textId="77777777" w:rsidR="002F3DC3" w:rsidRPr="00F868C6" w:rsidRDefault="002F3DC3" w:rsidP="007A3B1A">
            <w:r w:rsidRPr="00F868C6">
              <w:t xml:space="preserve">Veřejné rozpočty – </w:t>
            </w:r>
            <w:r w:rsidRPr="00F868C6">
              <w:rPr>
                <w:i/>
              </w:rPr>
              <w:t xml:space="preserve">doprava -  </w:t>
            </w:r>
            <w:r w:rsidR="00E94F01" w:rsidRPr="00F868C6">
              <w:rPr>
                <w:i/>
                <w:sz w:val="16"/>
                <w:szCs w:val="16"/>
              </w:rPr>
              <w:t>(</w:t>
            </w:r>
            <w:r w:rsidRPr="00F868C6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13" w:type="dxa"/>
          </w:tcPr>
          <w:p w14:paraId="0BA5828B" w14:textId="4B84EC8B" w:rsidR="002F3DC3" w:rsidRPr="00F868C6" w:rsidRDefault="00AD5B39" w:rsidP="00AD5B39">
            <w:r w:rsidRPr="00F868C6">
              <w:t>149 000 000,00</w:t>
            </w:r>
          </w:p>
        </w:tc>
        <w:tc>
          <w:tcPr>
            <w:tcW w:w="3024" w:type="dxa"/>
            <w:gridSpan w:val="2"/>
          </w:tcPr>
          <w:p w14:paraId="0BA5828C" w14:textId="4417438C" w:rsidR="002F3DC3" w:rsidRPr="00F868C6" w:rsidRDefault="00897CDB" w:rsidP="00897CDB">
            <w:r>
              <w:t>180 290 000,00</w:t>
            </w:r>
          </w:p>
        </w:tc>
      </w:tr>
      <w:tr w:rsidR="002F3DC3" w:rsidRPr="00C1160A" w14:paraId="0BA58292" w14:textId="77777777" w:rsidTr="0010777A">
        <w:trPr>
          <w:jc w:val="center"/>
        </w:trPr>
        <w:tc>
          <w:tcPr>
            <w:tcW w:w="3025" w:type="dxa"/>
          </w:tcPr>
          <w:p w14:paraId="0BA5828E" w14:textId="77777777" w:rsidR="002F3DC3" w:rsidRPr="00C1160A" w:rsidRDefault="002F3DC3" w:rsidP="007A3B1A">
            <w:r w:rsidRPr="00C1160A">
              <w:t>Ostatní veřejné zdroje</w:t>
            </w:r>
          </w:p>
          <w:p w14:paraId="0BA5828F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13" w:type="dxa"/>
          </w:tcPr>
          <w:p w14:paraId="0BA58290" w14:textId="08F7675A" w:rsidR="00AD5B39" w:rsidRPr="00C1160A" w:rsidRDefault="00AD5B39" w:rsidP="007A3B1A">
            <w:r>
              <w:t>0</w:t>
            </w:r>
            <w:r w:rsidR="00F868C6">
              <w:t>,00</w:t>
            </w:r>
          </w:p>
        </w:tc>
        <w:tc>
          <w:tcPr>
            <w:tcW w:w="3024" w:type="dxa"/>
            <w:gridSpan w:val="2"/>
          </w:tcPr>
          <w:p w14:paraId="0BA58291" w14:textId="39DA5F9F" w:rsidR="002F3DC3" w:rsidRPr="00C1160A" w:rsidRDefault="00AD5B39" w:rsidP="00AD5B39">
            <w:r>
              <w:t>0</w:t>
            </w:r>
            <w:r w:rsidR="00F868C6">
              <w:t>,00</w:t>
            </w:r>
          </w:p>
        </w:tc>
      </w:tr>
      <w:tr w:rsidR="002F3DC3" w:rsidRPr="00C1160A" w14:paraId="0BA58296" w14:textId="77777777" w:rsidTr="0010777A">
        <w:trPr>
          <w:jc w:val="center"/>
        </w:trPr>
        <w:tc>
          <w:tcPr>
            <w:tcW w:w="3025" w:type="dxa"/>
          </w:tcPr>
          <w:p w14:paraId="0BA58293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13" w:type="dxa"/>
          </w:tcPr>
          <w:p w14:paraId="0BA58294" w14:textId="371301D2" w:rsidR="002F3DC3" w:rsidRPr="00C1160A" w:rsidRDefault="00F868C6" w:rsidP="007A3B1A">
            <w:r>
              <w:t>0,00</w:t>
            </w:r>
          </w:p>
        </w:tc>
        <w:tc>
          <w:tcPr>
            <w:tcW w:w="3024" w:type="dxa"/>
            <w:gridSpan w:val="2"/>
          </w:tcPr>
          <w:p w14:paraId="0BA58295" w14:textId="26646096" w:rsidR="002F3DC3" w:rsidRPr="00C1160A" w:rsidRDefault="00F868C6" w:rsidP="007A3B1A">
            <w:r>
              <w:t>0,00</w:t>
            </w:r>
          </w:p>
        </w:tc>
      </w:tr>
      <w:tr w:rsidR="002F3DC3" w:rsidRPr="00C1160A" w14:paraId="0BA5829A" w14:textId="77777777" w:rsidTr="0010777A">
        <w:trPr>
          <w:jc w:val="center"/>
        </w:trPr>
        <w:tc>
          <w:tcPr>
            <w:tcW w:w="3025" w:type="dxa"/>
          </w:tcPr>
          <w:p w14:paraId="0BA58297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13" w:type="dxa"/>
          </w:tcPr>
          <w:p w14:paraId="0BA58298" w14:textId="3C61AD68" w:rsidR="002F3DC3" w:rsidRPr="00F868C6" w:rsidRDefault="00AD5B39" w:rsidP="007A3B1A">
            <w:pPr>
              <w:rPr>
                <w:b/>
              </w:rPr>
            </w:pPr>
            <w:r w:rsidRPr="00F868C6">
              <w:rPr>
                <w:b/>
              </w:rPr>
              <w:t>149 000 000,00</w:t>
            </w:r>
          </w:p>
        </w:tc>
        <w:tc>
          <w:tcPr>
            <w:tcW w:w="3024" w:type="dxa"/>
            <w:gridSpan w:val="2"/>
          </w:tcPr>
          <w:p w14:paraId="0BA58299" w14:textId="281E87B5" w:rsidR="002F3DC3" w:rsidRPr="00F868C6" w:rsidRDefault="00897CDB" w:rsidP="00944784">
            <w:pPr>
              <w:rPr>
                <w:b/>
              </w:rPr>
            </w:pPr>
            <w:r>
              <w:rPr>
                <w:b/>
              </w:rPr>
              <w:t>180 290 000,00</w:t>
            </w:r>
            <w:bookmarkStart w:id="0" w:name="_GoBack"/>
            <w:bookmarkEnd w:id="0"/>
          </w:p>
        </w:tc>
      </w:tr>
    </w:tbl>
    <w:p w14:paraId="0BA5829B" w14:textId="77777777" w:rsidR="004462D3" w:rsidRPr="004462D3" w:rsidRDefault="004462D3" w:rsidP="00B35AC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4462D3">
        <w:rPr>
          <w:b/>
          <w:bCs/>
          <w:u w:val="single"/>
        </w:rPr>
        <w:t>Popis stávajícího stavu a zdůvodnění nezbytnosti realizace projektu</w:t>
      </w:r>
      <w:r w:rsidR="00BA7FDA">
        <w:rPr>
          <w:b/>
          <w:bCs/>
          <w:u w:val="single"/>
        </w:rPr>
        <w:t>:</w:t>
      </w:r>
    </w:p>
    <w:p w14:paraId="6BEF4899" w14:textId="3CB7DB20" w:rsidR="00905A0A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D</w:t>
      </w:r>
      <w:r w:rsidRPr="00F82661">
        <w:rPr>
          <w:i/>
        </w:rPr>
        <w:t>otčený úsek se nachází na trati 240 – Brno hl. n. – Jihlava (dle JŘ), 322C dle TTP, dle prohlášení o dráze č.</w:t>
      </w:r>
      <w:r w:rsidR="00A87AE9">
        <w:rPr>
          <w:i/>
        </w:rPr>
        <w:t xml:space="preserve"> </w:t>
      </w:r>
      <w:r w:rsidRPr="00F82661">
        <w:rPr>
          <w:i/>
        </w:rPr>
        <w:t>642, TUDU 120152. Na trati se provozuje osobní doprava (R Brno – Plzeň, Os Jihlava – Brno a Jihlava – Znojmo) a nákladní doprava (především Jihlava – Znojmo).</w:t>
      </w:r>
    </w:p>
    <w:p w14:paraId="0CADAC66" w14:textId="69513871" w:rsidR="00F82661" w:rsidRPr="00F82661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 w:rsidRPr="00F82661">
        <w:rPr>
          <w:i/>
        </w:rPr>
        <w:lastRenderedPageBreak/>
        <w:t xml:space="preserve">Železniční svršek v traťovém úseku Luka nad Jihlavou – Jihlava v km 195,000 – 198,301 je složen z betonových pražců, převážně SB5 s dřevěnými hmoždinkami, kolejnic S49, upevnění tuhé T5. V km 196,077 se nachází železniční přejezd P3671 (panely Intermont), v km 196,896 přejezd P3672 (panely Intermont) a v km 198,289 přejezd P3679 (dvoukolejný, Intermont). Dále s v úseku nachází most v km 196,614, 197,328 a propustky v km 196,098 a 197,220 (plánované na opravu); kolej je zřízena jako bezstyková. </w:t>
      </w:r>
    </w:p>
    <w:p w14:paraId="0FF495C2" w14:textId="77777777" w:rsidR="00F82661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Na kolejnicích se lokálně vyskytují defektoskopické vady, pražce SB5 s dřevěnými hmoždinkami vykazují sníženou držebnost upevňovadel, především vrtulí. Kolejové lože je v daném úseku znečištěné, povrchové odvodnění (příkopy) vyžaduje provedení pročištění. V celém úseku jsou evidovány závady GPK – především rozchod koleje. U mostu a propustků vykazují nosné konstrukce a spodní stavby zásadní porušení a otvory propustků a okolí jsou zaneseny sedimenty. Okolí trati je zarostlé vegetací.</w:t>
      </w:r>
    </w:p>
    <w:p w14:paraId="3521FD35" w14:textId="77777777" w:rsidR="00F82661" w:rsidRPr="0042330C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 w:rsidRPr="00907EE2">
        <w:rPr>
          <w:i/>
        </w:rPr>
        <w:t>V</w:t>
      </w:r>
      <w:r w:rsidRPr="0042330C">
        <w:rPr>
          <w:i/>
        </w:rPr>
        <w:t xml:space="preserve"> rámci opravných prací </w:t>
      </w:r>
      <w:r w:rsidRPr="00907EE2">
        <w:rPr>
          <w:i/>
        </w:rPr>
        <w:t>b</w:t>
      </w:r>
      <w:r>
        <w:rPr>
          <w:i/>
        </w:rPr>
        <w:t>yla</w:t>
      </w:r>
      <w:r w:rsidRPr="00907EE2">
        <w:rPr>
          <w:i/>
        </w:rPr>
        <w:t xml:space="preserve"> v přilehlých úsecích v květnu a červnu 2022 dokončena </w:t>
      </w:r>
      <w:r w:rsidRPr="0042330C">
        <w:rPr>
          <w:i/>
        </w:rPr>
        <w:t xml:space="preserve">rekonstrukce „luckého“ zhlaví v ŽST Jihlava a </w:t>
      </w:r>
      <w:r w:rsidRPr="00907EE2">
        <w:rPr>
          <w:i/>
        </w:rPr>
        <w:t>oprava trati v úseku Luka nad Jihlavou – Jihlava I. Etapa v km 188,050 – 190,850.</w:t>
      </w:r>
      <w:r w:rsidRPr="0042330C">
        <w:rPr>
          <w:i/>
        </w:rPr>
        <w:t xml:space="preserve">  </w:t>
      </w:r>
    </w:p>
    <w:p w14:paraId="73FBA9E6" w14:textId="706DB232" w:rsidR="00F82661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V následujících letech budou pokračovat opravné práce v ús</w:t>
      </w:r>
      <w:r w:rsidR="00AD5B39">
        <w:rPr>
          <w:i/>
        </w:rPr>
        <w:t>eku Luka nad Jihlavou – Jihlava</w:t>
      </w:r>
      <w:r>
        <w:rPr>
          <w:i/>
        </w:rPr>
        <w:t>: III.</w:t>
      </w:r>
      <w:r w:rsidR="00AD5B39">
        <w:rPr>
          <w:i/>
        </w:rPr>
        <w:t xml:space="preserve"> </w:t>
      </w:r>
      <w:r>
        <w:rPr>
          <w:i/>
        </w:rPr>
        <w:t>etapa km 192,860 – 195,000; IV.</w:t>
      </w:r>
      <w:r w:rsidR="00AD5B39">
        <w:rPr>
          <w:i/>
        </w:rPr>
        <w:t xml:space="preserve"> </w:t>
      </w:r>
      <w:r>
        <w:rPr>
          <w:i/>
        </w:rPr>
        <w:t>etapa km 190,850 – 192,860 a V.</w:t>
      </w:r>
      <w:r w:rsidR="00AD5B39">
        <w:rPr>
          <w:i/>
        </w:rPr>
        <w:t xml:space="preserve"> </w:t>
      </w:r>
      <w:r>
        <w:rPr>
          <w:i/>
        </w:rPr>
        <w:t>etapa v km 187,563 – 188,050 – ve stejném rozsahu jako v I.</w:t>
      </w:r>
      <w:r w:rsidR="00AD5B39">
        <w:rPr>
          <w:i/>
        </w:rPr>
        <w:t xml:space="preserve"> </w:t>
      </w:r>
      <w:r>
        <w:rPr>
          <w:i/>
        </w:rPr>
        <w:t>a II. etapě.</w:t>
      </w:r>
    </w:p>
    <w:p w14:paraId="0BA5829C" w14:textId="55B4620F" w:rsidR="00DA5252" w:rsidRDefault="00F8266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</w:pPr>
      <w:r>
        <w:rPr>
          <w:i/>
        </w:rPr>
        <w:t xml:space="preserve"> Po realizaci dojde ke zvýšení bezpečnosti provozování drážní dopravy spojené se zvýšeným komfortem jízdy a nebude docházet k omezování provozu (výluky, pomalé jízdy) z důvodu nutných oprav lokálních závad.</w:t>
      </w:r>
    </w:p>
    <w:p w14:paraId="0BA5829D" w14:textId="77777777" w:rsid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Rozsah stavby</w:t>
      </w:r>
    </w:p>
    <w:p w14:paraId="263D2AD6" w14:textId="77777777" w:rsidR="00F82661" w:rsidRPr="00F82661" w:rsidRDefault="00F82661" w:rsidP="00F82661">
      <w:pPr>
        <w:rPr>
          <w:i/>
          <w:color w:val="000000" w:themeColor="text1"/>
        </w:rPr>
      </w:pPr>
      <w:r w:rsidRPr="00F82661">
        <w:rPr>
          <w:i/>
          <w:color w:val="000000" w:themeColor="text1"/>
        </w:rPr>
        <w:t xml:space="preserve">Km 195,000 – 198,301 v úseku Luka nad Jihlavou – Jihlava - výměna kolejnic, pražců, štěrkového lože za nové, oprava přejezdů v km 196,071, 196,896 a 198,289; oprava výše uvedených mostních objektů (km 196,098, 196,614, 197,220 a 197,328), úprava GPK podle nového projektu; zřízení BK; reprofilace, popř zřízení povrchového odvodnění; obnova stezek, </w:t>
      </w:r>
      <w:r w:rsidRPr="00F82661">
        <w:rPr>
          <w:i/>
        </w:rPr>
        <w:t>odstranění dřevin v okolí trati</w:t>
      </w:r>
      <w:r w:rsidRPr="00F82661">
        <w:rPr>
          <w:i/>
          <w:color w:val="000000" w:themeColor="text1"/>
        </w:rPr>
        <w:t>, nová výstroj trati.</w:t>
      </w:r>
    </w:p>
    <w:p w14:paraId="0BA5829F" w14:textId="77777777" w:rsidR="004462D3" w:rsidRP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Technické řešení</w:t>
      </w:r>
    </w:p>
    <w:p w14:paraId="7DFC74B5" w14:textId="08991C3E" w:rsidR="00C91F33" w:rsidRDefault="00F82661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Nahrazení stávajících betonových pražců SB5 novými </w:t>
      </w:r>
      <w:r w:rsidRPr="004325BA">
        <w:rPr>
          <w:i/>
          <w:color w:val="000000" w:themeColor="text1"/>
        </w:rPr>
        <w:t>betonov</w:t>
      </w:r>
      <w:r>
        <w:rPr>
          <w:i/>
          <w:color w:val="000000" w:themeColor="text1"/>
        </w:rPr>
        <w:t>ými pražci s pružným upevněním</w:t>
      </w:r>
      <w:r w:rsidRPr="004325BA">
        <w:rPr>
          <w:i/>
          <w:color w:val="000000" w:themeColor="text1"/>
        </w:rPr>
        <w:t xml:space="preserve">; </w:t>
      </w:r>
      <w:r>
        <w:rPr>
          <w:i/>
          <w:color w:val="000000" w:themeColor="text1"/>
        </w:rPr>
        <w:t xml:space="preserve">výměna </w:t>
      </w:r>
      <w:r w:rsidRPr="004325BA">
        <w:rPr>
          <w:i/>
          <w:color w:val="000000" w:themeColor="text1"/>
        </w:rPr>
        <w:t>kolejnic</w:t>
      </w:r>
      <w:r>
        <w:rPr>
          <w:i/>
          <w:color w:val="000000" w:themeColor="text1"/>
        </w:rPr>
        <w:t xml:space="preserve"> S49 za nové</w:t>
      </w:r>
      <w:r w:rsidRPr="004325BA">
        <w:rPr>
          <w:i/>
          <w:color w:val="000000" w:themeColor="text1"/>
        </w:rPr>
        <w:t xml:space="preserve"> 49 E1;</w:t>
      </w:r>
      <w:r>
        <w:rPr>
          <w:i/>
          <w:color w:val="000000" w:themeColor="text1"/>
        </w:rPr>
        <w:t xml:space="preserve"> výměna štěrkového lože.</w:t>
      </w:r>
      <w:r w:rsidRPr="004325B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 xml:space="preserve">V celém úseku zřízení BK. U přejezdů v km </w:t>
      </w:r>
      <w:r w:rsidRPr="004325BA">
        <w:rPr>
          <w:i/>
          <w:color w:val="000000" w:themeColor="text1"/>
        </w:rPr>
        <w:t>1</w:t>
      </w:r>
      <w:r>
        <w:rPr>
          <w:i/>
          <w:color w:val="000000" w:themeColor="text1"/>
        </w:rPr>
        <w:t>96,071, 196,896 a 198,289 bude stávající železobetonová konstrukce nahrazena novou rozebíratelnou konstrukcí. U výše uvedených propustků a mostů dojde k opravám vrchní, popř. spodní stavby.</w:t>
      </w:r>
    </w:p>
    <w:p w14:paraId="74DD2427" w14:textId="62C0DDC2" w:rsidR="00905A0A" w:rsidRDefault="00905A0A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</w:p>
    <w:p w14:paraId="1C084368" w14:textId="77777777" w:rsidR="00905A0A" w:rsidRPr="00591825" w:rsidRDefault="00905A0A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</w:p>
    <w:p w14:paraId="0BA582A2" w14:textId="77777777" w:rsidR="00C84F4E" w:rsidRDefault="00C84F4E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Termín realizace</w:t>
      </w:r>
    </w:p>
    <w:p w14:paraId="3C50BF9C" w14:textId="1D8FAC60" w:rsidR="00905A0A" w:rsidRPr="00905A0A" w:rsidRDefault="00AD5B39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Ve výluce od 14. 10. 2023 do 12. 11. 2023 (30 N)</w:t>
      </w:r>
      <w:r w:rsidR="00905A0A" w:rsidRPr="00905A0A">
        <w:rPr>
          <w:i/>
        </w:rPr>
        <w:t>. Při výluce bude nutné zavést NAD.</w:t>
      </w:r>
    </w:p>
    <w:p w14:paraId="0BA582A4" w14:textId="77777777" w:rsidR="004462D3" w:rsidRPr="0001235F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C1160A">
        <w:rPr>
          <w:b/>
          <w:bCs/>
          <w:u w:val="single"/>
        </w:rPr>
        <w:t>Shrnutí dopadů projektu</w:t>
      </w:r>
    </w:p>
    <w:p w14:paraId="0BA582A5" w14:textId="77777777" w:rsidR="004462D3" w:rsidRPr="004462D3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Bez projektu</w:t>
      </w:r>
    </w:p>
    <w:p w14:paraId="2C6887F0" w14:textId="3599A563" w:rsidR="00905A0A" w:rsidRDefault="00AD5B39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V případě ne </w:t>
      </w:r>
      <w:r w:rsidR="00905A0A">
        <w:rPr>
          <w:i/>
        </w:rPr>
        <w:t>realizace projektu by došlo k dalšímu zhoršení stavu železničního svršku, především držebnosti vrtulí v dřevěných hmoždinkách a svěrek (upevnění T5). V tomto případě by bylo nutné uvažovat o snížení rychlosti (zavedení PJ) z důvodu bezpečnosti provozování drážní dopravy. U mostu a propustků by docházelo k dalšímu zhoršování stavu, především nosné konstrukce a spodní stavby. Dále by došlo k zhoršování kvality štěrkového lože, které v současné době prorůstá vegetací, povrchové odvodnění neplní svoji funkci a neodvádí řádně vodu ze štěrkového lože.</w:t>
      </w:r>
    </w:p>
    <w:p w14:paraId="4133C6AC" w14:textId="6890923C" w:rsidR="00905A0A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Lokální výměna pražců, kolejnic, upevňovadel a jednotlivá oprava propustků, kterou bude nutné provádět při dalším předpokládaném zhoršování stávajícího stavu, by nebyla ekonomicky výhodná. Je třeba počítat i s náklady na výluky při provádění oprav.  </w:t>
      </w:r>
    </w:p>
    <w:p w14:paraId="0BA582A7" w14:textId="77777777" w:rsidR="004462D3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S</w:t>
      </w:r>
      <w:r w:rsidR="006F0549">
        <w:rPr>
          <w:u w:val="single"/>
        </w:rPr>
        <w:t> </w:t>
      </w:r>
      <w:r w:rsidRPr="004462D3">
        <w:rPr>
          <w:u w:val="single"/>
        </w:rPr>
        <w:t>projektem</w:t>
      </w:r>
    </w:p>
    <w:p w14:paraId="58D29688" w14:textId="77777777" w:rsidR="00905A0A" w:rsidRPr="00907EE2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  <w:r>
        <w:rPr>
          <w:i/>
        </w:rPr>
        <w:t xml:space="preserve">V případě realizace projektu dojde k dlouhodobému zajištění bezpečného provozování drážní dopravy, k markantnímu snížení nákladů na údržbu, včetně nákladů na výluky spojené s realizací údržbových prací. </w:t>
      </w:r>
    </w:p>
    <w:p w14:paraId="0BA582A9" w14:textId="77777777" w:rsidR="00944784" w:rsidRPr="00DA5252" w:rsidRDefault="00DA5252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DA5252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FE5CCB" w14:paraId="0BA582AE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0BA582AA" w14:textId="77777777" w:rsidR="00FE5CCB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0BA582AB" w14:textId="77777777" w:rsidR="00FE5CCB" w:rsidRDefault="00FE5CCB" w:rsidP="00AF203B">
            <w:pPr>
              <w:tabs>
                <w:tab w:val="left" w:pos="340"/>
                <w:tab w:val="left" w:pos="567"/>
              </w:tabs>
            </w:pPr>
            <w:r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0BA582AC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Celkové náklady projektu</w:t>
            </w:r>
          </w:p>
          <w:p w14:paraId="0BA582AD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FE5CCB" w14:paraId="0BA582B2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0BA582A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0BA582B0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1" w14:textId="5464B587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1 222 000,00</w:t>
            </w:r>
          </w:p>
        </w:tc>
      </w:tr>
      <w:tr w:rsidR="00FE5CCB" w14:paraId="0BA582B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3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4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5" w14:textId="286AD229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0,00</w:t>
            </w:r>
          </w:p>
        </w:tc>
      </w:tr>
      <w:tr w:rsidR="00FE5CCB" w14:paraId="0BA582B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7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9" w14:textId="70AB87FD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136 079 000,00</w:t>
            </w:r>
          </w:p>
        </w:tc>
      </w:tr>
      <w:tr w:rsidR="00FE5CCB" w14:paraId="0BA582B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B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D" w14:textId="68ED5920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11 199 000,00</w:t>
            </w:r>
          </w:p>
        </w:tc>
      </w:tr>
      <w:tr w:rsidR="00FE5CCB" w14:paraId="0BA582C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B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0" w14:textId="3510F131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Nepředvídatelné události</w:t>
            </w:r>
            <w:r w:rsidRPr="0081631A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1" w14:textId="1FC4589D" w:rsidR="00A12F35" w:rsidRPr="0081631A" w:rsidRDefault="00A12F35" w:rsidP="00A12F35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0,00</w:t>
            </w:r>
          </w:p>
        </w:tc>
      </w:tr>
      <w:tr w:rsidR="00FE5CCB" w14:paraId="0BA582C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3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4" w14:textId="4FC661FA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Příp. úprava ceny</w:t>
            </w:r>
            <w:r w:rsidR="00A12F35">
              <w:t xml:space="preserve"> </w:t>
            </w:r>
            <w:r w:rsidRPr="0081631A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5" w14:textId="34BF9DD3" w:rsidR="00FE5CCB" w:rsidRPr="0081631A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  <w:r>
              <w:rPr>
                <w:sz w:val="26"/>
              </w:rPr>
              <w:t>0,00</w:t>
            </w:r>
          </w:p>
        </w:tc>
      </w:tr>
      <w:tr w:rsidR="00FE5CCB" w14:paraId="0BA582C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7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8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9" w14:textId="3F34363B" w:rsidR="00FE5CCB" w:rsidRPr="0081631A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  <w:r>
              <w:rPr>
                <w:sz w:val="26"/>
              </w:rPr>
              <w:t>0,00</w:t>
            </w:r>
          </w:p>
        </w:tc>
      </w:tr>
      <w:tr w:rsidR="00FE5CCB" w14:paraId="0BA582C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B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D" w14:textId="1B0D57EC" w:rsidR="00FE5CCB" w:rsidRPr="0081631A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  <w:r>
              <w:rPr>
                <w:sz w:val="26"/>
              </w:rPr>
              <w:t>0,00</w:t>
            </w:r>
          </w:p>
        </w:tc>
      </w:tr>
      <w:tr w:rsidR="00FE5CCB" w14:paraId="0BA582D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D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D1" w14:textId="374247EF" w:rsidR="00FE5CCB" w:rsidRPr="0081631A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  <w:r>
              <w:rPr>
                <w:sz w:val="26"/>
              </w:rPr>
              <w:t>500 000,00</w:t>
            </w:r>
          </w:p>
        </w:tc>
      </w:tr>
      <w:tr w:rsidR="00FE5CCB" w14:paraId="0BA582D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D3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D4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D5" w14:textId="45F50E84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149 000 000,00</w:t>
            </w:r>
          </w:p>
        </w:tc>
      </w:tr>
      <w:tr w:rsidR="00FE5CCB" w14:paraId="0BA582D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0BA582D7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lastRenderedPageBreak/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0BA582D8" w14:textId="071E742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DPH</w:t>
            </w:r>
            <w:r w:rsidR="00A12F35">
              <w:t xml:space="preserve"> </w:t>
            </w:r>
            <w:r w:rsidRPr="009535E0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0BA582D9" w14:textId="227A85B2" w:rsidR="00FE5CCB" w:rsidRPr="009535E0" w:rsidRDefault="00A12F35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31 290 000,00</w:t>
            </w:r>
          </w:p>
        </w:tc>
      </w:tr>
      <w:tr w:rsidR="00FE5CCB" w14:paraId="0BA582DE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0BA582DB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0BA582DC" w14:textId="365AADB2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CELKEM</w:t>
            </w:r>
            <w:r w:rsidR="00A12F35">
              <w:rPr>
                <w:b/>
              </w:rPr>
              <w:t xml:space="preserve"> </w:t>
            </w:r>
            <w:r>
              <w:rPr>
                <w:vertAlign w:val="superscript"/>
              </w:rPr>
              <w:t>(4)</w:t>
            </w:r>
            <w:r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0BA582DD" w14:textId="4216FE16" w:rsidR="00FE5CCB" w:rsidRDefault="00A12F35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  <w:u w:val="single"/>
                <w:vertAlign w:val="superscript"/>
              </w:rPr>
            </w:pPr>
            <w:r>
              <w:rPr>
                <w:sz w:val="26"/>
                <w:u w:val="single"/>
                <w:vertAlign w:val="superscript"/>
              </w:rPr>
              <w:t>180 290 000,00</w:t>
            </w:r>
          </w:p>
        </w:tc>
      </w:tr>
    </w:tbl>
    <w:p w14:paraId="0BA582DF" w14:textId="77777777" w:rsidR="00DA5252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FE5CCB" w14:paraId="0BA582E3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0BA582E0" w14:textId="77777777" w:rsidR="00FE5CCB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1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 xml:space="preserve">Rezervy pro nepředvídatelné události </w:t>
            </w:r>
            <w:r>
              <w:rPr>
                <w:sz w:val="18"/>
              </w:rPr>
              <w:t>nesmí</w:t>
            </w:r>
            <w:r w:rsidRPr="00A946E2">
              <w:rPr>
                <w:sz w:val="18"/>
              </w:rPr>
              <w:t xml:space="preserve"> překročit 10 % celkových </w:t>
            </w:r>
            <w:r w:rsidR="006302D8">
              <w:rPr>
                <w:sz w:val="18"/>
              </w:rPr>
              <w:t>ne</w:t>
            </w:r>
            <w:r w:rsidRPr="00A946E2">
              <w:rPr>
                <w:sz w:val="18"/>
              </w:rPr>
              <w:t xml:space="preserve">investičních nákladů bez rezerv pro nepředvídatelné události. </w:t>
            </w:r>
          </w:p>
          <w:p w14:paraId="0BA582E1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2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0BA582E2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3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</w:r>
            <w:r>
              <w:rPr>
                <w:sz w:val="18"/>
              </w:rPr>
              <w:t>Pouze j</w:t>
            </w:r>
            <w:r w:rsidRPr="00A946E2">
              <w:rPr>
                <w:sz w:val="18"/>
              </w:rPr>
              <w:t xml:space="preserve">e-li DPH </w:t>
            </w:r>
            <w:r>
              <w:rPr>
                <w:sz w:val="18"/>
              </w:rPr>
              <w:t>nerefundovatelná</w:t>
            </w:r>
          </w:p>
        </w:tc>
      </w:tr>
      <w:tr w:rsidR="00FE5CCB" w14:paraId="0BA582E5" w14:textId="77777777" w:rsidTr="00AF203B">
        <w:trPr>
          <w:cantSplit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0BA582E4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4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Celkové náklady musí zahrnovat veškeré náklady vynaložené na projekt, od plánování po dozor, a musí zahrnovat DPH</w:t>
            </w:r>
            <w:r>
              <w:rPr>
                <w:sz w:val="18"/>
              </w:rPr>
              <w:t>, pokud je nerefundovatelná</w:t>
            </w:r>
          </w:p>
        </w:tc>
      </w:tr>
    </w:tbl>
    <w:p w14:paraId="0BA582E6" w14:textId="77777777" w:rsidR="00DA5252" w:rsidRDefault="00DA5252" w:rsidP="004462D3">
      <w:pPr>
        <w:ind w:left="142"/>
      </w:pPr>
    </w:p>
    <w:p w14:paraId="0BA582E7" w14:textId="4E4B61AA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  <w:r>
        <w:t>Z</w:t>
      </w:r>
      <w:r w:rsidRPr="00C1160A">
        <w:t>pracoval, dne:</w:t>
      </w:r>
      <w:r w:rsidR="00905A0A" w:rsidRPr="00905A0A">
        <w:t xml:space="preserve"> </w:t>
      </w:r>
      <w:r w:rsidR="00905A0A">
        <w:t xml:space="preserve">Kopečný Karel, Kazdera Heřman, Ing., </w:t>
      </w:r>
      <w:r w:rsidR="00A12F35">
        <w:t>01. 03. 2022</w:t>
      </w:r>
      <w:r w:rsidR="00905A0A">
        <w:tab/>
      </w:r>
      <w:r w:rsidR="00905A0A">
        <w:tab/>
      </w:r>
      <w:r w:rsidR="00905A0A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A582E8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0BA582E9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0BA582EA" w14:textId="77777777" w:rsidR="004462D3" w:rsidRDefault="004462D3" w:rsidP="00BA7FDA">
      <w:pPr>
        <w:tabs>
          <w:tab w:val="left" w:pos="1134"/>
        </w:tabs>
        <w:spacing w:line="276" w:lineRule="auto"/>
        <w:ind w:left="1134" w:hanging="1134"/>
        <w:jc w:val="both"/>
      </w:pPr>
      <w:r w:rsidRPr="00C1160A">
        <w:t>Schválil, dne:</w:t>
      </w:r>
      <w:r w:rsidR="00944784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160A">
        <w:t xml:space="preserve"> </w:t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A182C" w14:textId="77777777" w:rsidR="00ED61E8" w:rsidRDefault="00ED61E8" w:rsidP="006B77EF">
      <w:r>
        <w:separator/>
      </w:r>
    </w:p>
  </w:endnote>
  <w:endnote w:type="continuationSeparator" w:id="0">
    <w:p w14:paraId="17090687" w14:textId="77777777" w:rsidR="00ED61E8" w:rsidRDefault="00ED61E8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02F68" w14:textId="77777777" w:rsidR="00ED61E8" w:rsidRDefault="00ED61E8" w:rsidP="006B77EF">
      <w:r>
        <w:separator/>
      </w:r>
    </w:p>
  </w:footnote>
  <w:footnote w:type="continuationSeparator" w:id="0">
    <w:p w14:paraId="0CDF0F16" w14:textId="77777777" w:rsidR="00ED61E8" w:rsidRDefault="00ED61E8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5E47"/>
    <w:rsid w:val="00011681"/>
    <w:rsid w:val="00014507"/>
    <w:rsid w:val="000B06C8"/>
    <w:rsid w:val="000C127E"/>
    <w:rsid w:val="000C2FA4"/>
    <w:rsid w:val="000F6D4F"/>
    <w:rsid w:val="00104831"/>
    <w:rsid w:val="0010777A"/>
    <w:rsid w:val="00127826"/>
    <w:rsid w:val="00172DD4"/>
    <w:rsid w:val="00180B9C"/>
    <w:rsid w:val="00191A84"/>
    <w:rsid w:val="00193CBE"/>
    <w:rsid w:val="001B310C"/>
    <w:rsid w:val="001B5C80"/>
    <w:rsid w:val="001E5711"/>
    <w:rsid w:val="001F6282"/>
    <w:rsid w:val="00271DC6"/>
    <w:rsid w:val="0028178A"/>
    <w:rsid w:val="002F3DC3"/>
    <w:rsid w:val="003129D3"/>
    <w:rsid w:val="003727EC"/>
    <w:rsid w:val="003A571E"/>
    <w:rsid w:val="004462D3"/>
    <w:rsid w:val="00476D9E"/>
    <w:rsid w:val="00491A20"/>
    <w:rsid w:val="0056019A"/>
    <w:rsid w:val="00587048"/>
    <w:rsid w:val="00591825"/>
    <w:rsid w:val="005F36EF"/>
    <w:rsid w:val="006302D8"/>
    <w:rsid w:val="0065365F"/>
    <w:rsid w:val="006B77EF"/>
    <w:rsid w:val="006F0549"/>
    <w:rsid w:val="007C5015"/>
    <w:rsid w:val="00801A86"/>
    <w:rsid w:val="008360A6"/>
    <w:rsid w:val="00897CDB"/>
    <w:rsid w:val="008C3A96"/>
    <w:rsid w:val="00905A0A"/>
    <w:rsid w:val="00944784"/>
    <w:rsid w:val="0095000C"/>
    <w:rsid w:val="009535E0"/>
    <w:rsid w:val="00A12F35"/>
    <w:rsid w:val="00A34846"/>
    <w:rsid w:val="00A713E1"/>
    <w:rsid w:val="00A87AE9"/>
    <w:rsid w:val="00AD5B39"/>
    <w:rsid w:val="00B35ACA"/>
    <w:rsid w:val="00B44255"/>
    <w:rsid w:val="00B732F1"/>
    <w:rsid w:val="00BA09DB"/>
    <w:rsid w:val="00BA7FDA"/>
    <w:rsid w:val="00BB0B4E"/>
    <w:rsid w:val="00BF00D8"/>
    <w:rsid w:val="00BF34CC"/>
    <w:rsid w:val="00BF6A6B"/>
    <w:rsid w:val="00C0029C"/>
    <w:rsid w:val="00C7712A"/>
    <w:rsid w:val="00C84F4E"/>
    <w:rsid w:val="00C859E9"/>
    <w:rsid w:val="00C91F33"/>
    <w:rsid w:val="00D217A3"/>
    <w:rsid w:val="00DA5252"/>
    <w:rsid w:val="00E16E89"/>
    <w:rsid w:val="00E26C14"/>
    <w:rsid w:val="00E75D6C"/>
    <w:rsid w:val="00E94F01"/>
    <w:rsid w:val="00E95560"/>
    <w:rsid w:val="00ED61E8"/>
    <w:rsid w:val="00F216B4"/>
    <w:rsid w:val="00F51E0B"/>
    <w:rsid w:val="00F74EE6"/>
    <w:rsid w:val="00F82661"/>
    <w:rsid w:val="00F868C6"/>
    <w:rsid w:val="00FB19C2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8272"/>
  <w15:docId w15:val="{2A7C4696-3346-4885-908B-29276234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6AB9675191F94FA1355FD0BBF87263" ma:contentTypeVersion="0" ma:contentTypeDescription="Vytvořit nový dokument" ma:contentTypeScope="" ma:versionID="d2d80cc7555b58c3ccdaf1ed24770b4b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40B3-249B-4FB7-8B9B-F233B70EA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B6643-BFFD-4E23-955B-1892AFBCD2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4F26EE-61B6-4036-B661-A8CB9A06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FBABBF-4EC7-4FB6-803A-DB68A786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Bosáková Dana Ing.</dc:creator>
  <cp:lastModifiedBy>Kazdera Heřman, Ing.</cp:lastModifiedBy>
  <cp:revision>9</cp:revision>
  <dcterms:created xsi:type="dcterms:W3CDTF">2021-10-06T07:28:00Z</dcterms:created>
  <dcterms:modified xsi:type="dcterms:W3CDTF">2022-12-14T09:08:00Z</dcterms:modified>
</cp:coreProperties>
</file>